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bookmarkStart w:id="0" w:name="_GoBack"/>
      <w:bookmarkEnd w:id="0"/>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r w:rsidRPr="002452D7">
        <w:rPr>
          <w:rFonts w:asciiTheme="majorBidi" w:eastAsia="Times New Roman" w:hAnsiTheme="majorBidi" w:cstheme="majorBidi"/>
          <w:sz w:val="32"/>
          <w:szCs w:val="32"/>
        </w:rPr>
        <w:t>.Donors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lastRenderedPageBreak/>
        <w:t>1</w:t>
      </w:r>
      <w:r w:rsidR="00F8081B">
        <w:rPr>
          <w:rFonts w:asciiTheme="majorBidi" w:eastAsia="Times New Roman" w:hAnsiTheme="majorBidi" w:cstheme="majorBidi"/>
          <w:sz w:val="32"/>
          <w:szCs w:val="32"/>
        </w:rPr>
        <w:t>2</w:t>
      </w:r>
      <w:r w:rsidRPr="002452D7">
        <w:rPr>
          <w:rFonts w:asciiTheme="majorBidi" w:eastAsia="Times New Roman" w:hAnsiTheme="majorBidi" w:cstheme="majorBidi"/>
          <w:sz w:val="32"/>
          <w:szCs w:val="32"/>
        </w:rPr>
        <w:t>.Donors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r w:rsidRPr="002452D7">
        <w:rPr>
          <w:rFonts w:asciiTheme="majorBidi" w:eastAsia="Times New Roman" w:hAnsiTheme="majorBidi" w:cstheme="majorBidi"/>
          <w:sz w:val="32"/>
          <w:szCs w:val="32"/>
        </w:rPr>
        <w:t>.Donors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r w:rsidRPr="002452D7">
        <w:rPr>
          <w:rFonts w:asciiTheme="majorBidi" w:eastAsia="Times New Roman" w:hAnsiTheme="majorBidi" w:cstheme="majorBidi"/>
          <w:sz w:val="32"/>
          <w:szCs w:val="32"/>
        </w:rPr>
        <w:t>.Donors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symptoms or be cured for at least 3 years before donating blood. Donors who have been to places that have known malaria outbreaks must not allow one year to pass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6</w:t>
      </w:r>
      <w:r w:rsidRPr="002452D7">
        <w:rPr>
          <w:rFonts w:asciiTheme="majorBidi" w:eastAsia="Times New Roman" w:hAnsiTheme="majorBidi" w:cstheme="majorBidi"/>
          <w:sz w:val="32"/>
          <w:szCs w:val="32"/>
        </w:rPr>
        <w:t>.Donors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 xml:space="preserve">Donors must drink 3-4 glasses of pure water followed by fruit juice, milk, and sweet drinks to increase the amount of blood </w:t>
      </w:r>
      <w:r w:rsidRPr="003A1D1B">
        <w:rPr>
          <w:rFonts w:asciiTheme="majorBidi" w:eastAsia="Times New Roman" w:hAnsiTheme="majorBidi" w:cstheme="majorBidi"/>
          <w:sz w:val="32"/>
          <w:szCs w:val="32"/>
        </w:rPr>
        <w:lastRenderedPageBreak/>
        <w:t>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w:t>
      </w:r>
      <w:r w:rsidR="00102E6B">
        <w:rPr>
          <w:rFonts w:asciiTheme="majorBidi" w:eastAsia="Times New Roman" w:hAnsiTheme="majorBidi" w:cstheme="majorBidi"/>
          <w:sz w:val="32"/>
          <w:szCs w:val="32"/>
        </w:rPr>
        <w:lastRenderedPageBreak/>
        <w:t xml:space="preserve">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F55" w:rsidRDefault="00D63F55" w:rsidP="002A7D01">
      <w:pPr>
        <w:spacing w:after="0" w:line="240" w:lineRule="auto"/>
      </w:pPr>
      <w:r>
        <w:separator/>
      </w:r>
    </w:p>
  </w:endnote>
  <w:endnote w:type="continuationSeparator" w:id="0">
    <w:p w:rsidR="00D63F55" w:rsidRDefault="00D63F55"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ngsana New">
    <w:altName w:val="Leelawadee UI"/>
    <w:panose1 w:val="02020603050405020304"/>
    <w:charset w:val="00"/>
    <w:family w:val="roman"/>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F55" w:rsidRDefault="00D63F55" w:rsidP="002A7D01">
      <w:pPr>
        <w:spacing w:after="0" w:line="240" w:lineRule="auto"/>
      </w:pPr>
      <w:r>
        <w:separator/>
      </w:r>
    </w:p>
  </w:footnote>
  <w:footnote w:type="continuationSeparator" w:id="0">
    <w:p w:rsidR="00D63F55" w:rsidRDefault="00D63F55" w:rsidP="002A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66776E" w:rsidRPr="0066776E">
          <w:rPr>
            <w:rFonts w:asciiTheme="majorBidi" w:hAnsiTheme="majorBidi" w:cstheme="majorBidi"/>
            <w:noProof/>
            <w:sz w:val="28"/>
            <w:lang w:val="th-TH"/>
          </w:rPr>
          <w:t>1</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MwsDAyMzczNTYyMjNT0lEKTi0uzszPAykwqgUAEJpILiwAAAA="/>
  </w:docVars>
  <w:rsids>
    <w:rsidRoot w:val="0030622D"/>
    <w:rsid w:val="000051C4"/>
    <w:rsid w:val="000103DC"/>
    <w:rsid w:val="00102E6B"/>
    <w:rsid w:val="002A7D01"/>
    <w:rsid w:val="0030622D"/>
    <w:rsid w:val="003A1D1B"/>
    <w:rsid w:val="0066776E"/>
    <w:rsid w:val="00895388"/>
    <w:rsid w:val="00BB449D"/>
    <w:rsid w:val="00D63F55"/>
    <w:rsid w:val="00F1135F"/>
    <w:rsid w:val="00F808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CB684-20EF-474A-97D4-CBF8AE5E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Microsoft</cp:lastModifiedBy>
  <cp:revision>2</cp:revision>
  <dcterms:created xsi:type="dcterms:W3CDTF">2019-06-26T07:54:00Z</dcterms:created>
  <dcterms:modified xsi:type="dcterms:W3CDTF">2019-06-26T07:54:00Z</dcterms:modified>
</cp:coreProperties>
</file>